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A7" w:rsidRPr="00370E76" w:rsidRDefault="00AE1172" w:rsidP="00370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E76">
        <w:rPr>
          <w:rFonts w:ascii="Times New Roman" w:hAnsi="Times New Roman" w:cs="Times New Roman"/>
          <w:b/>
          <w:sz w:val="24"/>
          <w:szCs w:val="24"/>
        </w:rPr>
        <w:t xml:space="preserve">ÖĞRETME VE ÖĞRENME UYGULAMA VE ARAŞTIRMA MERKEZİ MÜDÜRLÜĞÜ </w:t>
      </w:r>
      <w:bookmarkStart w:id="0" w:name="_GoBack"/>
      <w:r w:rsidRPr="00370E76">
        <w:rPr>
          <w:rFonts w:ascii="Times New Roman" w:hAnsi="Times New Roman" w:cs="Times New Roman"/>
          <w:b/>
          <w:sz w:val="24"/>
          <w:szCs w:val="24"/>
        </w:rPr>
        <w:t>AR-GE POLİTİKASI</w:t>
      </w:r>
      <w:bookmarkEnd w:id="0"/>
    </w:p>
    <w:p w:rsidR="00C710A7" w:rsidRPr="00370E76" w:rsidRDefault="00C710A7" w:rsidP="00370E7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Misyon</w:t>
      </w:r>
    </w:p>
    <w:p w:rsidR="00C710A7" w:rsidRPr="00370E76" w:rsidRDefault="00370E76" w:rsidP="00370E7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Siirt Üniversitesinde</w:t>
      </w:r>
      <w:r w:rsidR="00AE1172"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AE1172"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Örgün ve</w:t>
      </w:r>
      <w:r w:rsidR="00AE1172"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uzaktan eğitime destek vermek, </w:t>
      </w:r>
      <w:r w:rsidR="00AE1172"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21.yüzyıl temel beceriler çer</w:t>
      </w:r>
      <w:r w:rsidR="00AE1172"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çevesinde eğitimler düzenlemek, </w:t>
      </w:r>
      <w:r w:rsidR="00AE1172"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Araştırmacı, sorgulayıcı, girişimci birey</w:t>
      </w:r>
      <w:r w:rsidR="00AE1172"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lerin eğitimine katkı sağlamak, </w:t>
      </w:r>
      <w:r w:rsidR="00AE1172"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Değerler eğitimi çerçevesinde bilgiyi yapılandıran ve k</w:t>
      </w:r>
      <w:r w:rsidR="00AE1172"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ullanan bireylere rehber olmak, </w:t>
      </w:r>
      <w:r w:rsidR="00AE1172"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Diğer eğitim kurumlarıyla tecrübe ve bilgi paylaşımı yaparak yenilikte lider, paylaşımcı bir merkez olmayı hedeflemektedir.</w:t>
      </w:r>
    </w:p>
    <w:p w:rsidR="00381737" w:rsidRPr="00370E76" w:rsidRDefault="00381737" w:rsidP="00370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C710A7" w:rsidRPr="00370E76" w:rsidRDefault="00C710A7" w:rsidP="00370E76">
      <w:pPr>
        <w:pStyle w:val="Heading2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 w:rsidRPr="00370E76">
        <w:rPr>
          <w:bCs w:val="0"/>
          <w:color w:val="000000"/>
          <w:sz w:val="24"/>
          <w:szCs w:val="24"/>
        </w:rPr>
        <w:t>Vizyon</w:t>
      </w:r>
    </w:p>
    <w:p w:rsidR="00C710A7" w:rsidRPr="00370E76" w:rsidRDefault="00AE1172" w:rsidP="00370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Yaşam boyu öğrenme </w:t>
      </w:r>
      <w:proofErr w:type="gramStart"/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sürecinde  etik</w:t>
      </w:r>
      <w:proofErr w:type="gramEnd"/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ilkelerle bilimsel çalışmalar yapan, yenilikçi anlayışla bilgileri yapılandıran araştırmalarla/etkinliklerle Siirt Üniversitesi öğretim elemanlarına ve öğrencilerine katkıda bulunmak,</w:t>
      </w:r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Elde edilen bilgileri oku</w:t>
      </w:r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ryazarlık becerisiyle  akademik</w:t>
      </w:r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idari personelin ve öğrencilerin  kullanımına açmak,</w:t>
      </w:r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Teknoloji destekli eğitimi; eleştirel düşünme, problem çözme ve iletişim becerilerini geliştirecek yöntemlerle sunarak daha sosyal, etkili, verimli ve kalıcı bir öğrenme sağlamak,</w:t>
      </w:r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70E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Ulusal ve Uluslararası  alanda  projeler ve bilimsel çalışmalar gerçekleştirmek ve Siirt Üniversitesi’nin toplumsal ilişkilerini güçlendirmek.</w:t>
      </w:r>
    </w:p>
    <w:p w:rsidR="00C710A7" w:rsidRPr="00370E76" w:rsidRDefault="00C710A7" w:rsidP="00370E76">
      <w:pPr>
        <w:jc w:val="both"/>
        <w:rPr>
          <w:rFonts w:ascii="Times New Roman" w:hAnsi="Times New Roman" w:cs="Times New Roman"/>
          <w:sz w:val="24"/>
          <w:szCs w:val="24"/>
        </w:rPr>
      </w:pPr>
      <w:r w:rsidRPr="00370E76">
        <w:rPr>
          <w:rFonts w:ascii="Times New Roman" w:hAnsi="Times New Roman" w:cs="Times New Roman"/>
          <w:sz w:val="24"/>
          <w:szCs w:val="24"/>
        </w:rPr>
        <w:t xml:space="preserve">Ar-Ge kalite politikası Siirt Üniversitesinin </w:t>
      </w:r>
      <w:proofErr w:type="gramStart"/>
      <w:r w:rsidRPr="00370E76">
        <w:rPr>
          <w:rFonts w:ascii="Times New Roman" w:hAnsi="Times New Roman" w:cs="Times New Roman"/>
          <w:sz w:val="24"/>
          <w:szCs w:val="24"/>
        </w:rPr>
        <w:t>misyonu</w:t>
      </w:r>
      <w:proofErr w:type="gramEnd"/>
      <w:r w:rsidRPr="00370E76">
        <w:rPr>
          <w:rFonts w:ascii="Times New Roman" w:hAnsi="Times New Roman" w:cs="Times New Roman"/>
          <w:sz w:val="24"/>
          <w:szCs w:val="24"/>
        </w:rPr>
        <w:t xml:space="preserve"> ve vizyonu doğrultusunda aşağıdaki şekilde belirlenmiştir.</w:t>
      </w:r>
    </w:p>
    <w:p w:rsidR="00C710A7" w:rsidRPr="00370E76" w:rsidRDefault="00C710A7" w:rsidP="00370E76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E76">
        <w:rPr>
          <w:rFonts w:ascii="Times New Roman" w:hAnsi="Times New Roman" w:cs="Times New Roman"/>
          <w:sz w:val="24"/>
          <w:szCs w:val="24"/>
        </w:rPr>
        <w:t>Araştırmaların yerel,  ulusal ve uluslararası öncelik ve ihtiyaçlar dikkate alınarak planlanması,</w:t>
      </w:r>
    </w:p>
    <w:p w:rsidR="00C710A7" w:rsidRPr="00370E76" w:rsidRDefault="00C710A7" w:rsidP="00370E76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E76">
        <w:rPr>
          <w:rFonts w:ascii="Times New Roman" w:hAnsi="Times New Roman" w:cs="Times New Roman"/>
          <w:sz w:val="24"/>
          <w:szCs w:val="24"/>
        </w:rPr>
        <w:t>Uluslararalılaşmada bilinç oluşturma ve bu yönde uygulamaların teşvik edilmesi,</w:t>
      </w:r>
    </w:p>
    <w:p w:rsidR="00C710A7" w:rsidRPr="00370E76" w:rsidRDefault="00C710A7" w:rsidP="00370E76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E76">
        <w:rPr>
          <w:rFonts w:ascii="Times New Roman" w:hAnsi="Times New Roman" w:cs="Times New Roman"/>
          <w:sz w:val="24"/>
          <w:szCs w:val="24"/>
        </w:rPr>
        <w:t>Ar-Ge faaliyetlerinde üniversite-kamu-sanayi işbirliğinin sağlanması,</w:t>
      </w:r>
    </w:p>
    <w:p w:rsidR="00C710A7" w:rsidRPr="00370E76" w:rsidRDefault="00C710A7" w:rsidP="00370E76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E76">
        <w:rPr>
          <w:rFonts w:ascii="Times New Roman" w:hAnsi="Times New Roman" w:cs="Times New Roman"/>
          <w:sz w:val="24"/>
          <w:szCs w:val="24"/>
        </w:rPr>
        <w:t>Ar-Ge faaliyetlerinde paydaşların katılımının etkinleştirilmesi,</w:t>
      </w:r>
    </w:p>
    <w:p w:rsidR="00C710A7" w:rsidRPr="00370E76" w:rsidRDefault="00C710A7" w:rsidP="00370E76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E76">
        <w:rPr>
          <w:rFonts w:ascii="Times New Roman" w:hAnsi="Times New Roman" w:cs="Times New Roman"/>
          <w:sz w:val="24"/>
          <w:szCs w:val="24"/>
        </w:rPr>
        <w:t>Akademisyenlerin Ar-Ge faaliyetlerini gerçekleştirebilecekleri uygun ortamların oluşturulması,</w:t>
      </w:r>
    </w:p>
    <w:p w:rsidR="00AE1172" w:rsidRPr="00370E76" w:rsidRDefault="00C710A7" w:rsidP="00370E76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E76">
        <w:rPr>
          <w:rFonts w:ascii="Times New Roman" w:hAnsi="Times New Roman" w:cs="Times New Roman"/>
          <w:sz w:val="24"/>
          <w:szCs w:val="24"/>
        </w:rPr>
        <w:t>Akademisyenlerin Ar-Ge yönlerinin geliştirilerek aktif ve dinamik tutulması,</w:t>
      </w:r>
    </w:p>
    <w:p w:rsidR="00C710A7" w:rsidRPr="00370E76" w:rsidRDefault="00AE1172" w:rsidP="00370E76">
      <w:pPr>
        <w:pStyle w:val="ListParagraph"/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0E76">
        <w:rPr>
          <w:rFonts w:ascii="Times New Roman" w:hAnsi="Times New Roman" w:cs="Times New Roman"/>
          <w:sz w:val="24"/>
          <w:szCs w:val="24"/>
        </w:rPr>
        <w:t>Araştırma bulgularını yurt içi ve yurt dışı bilimsel toplantılarda paylaşmak ve bilimsel yayın haline getirmek.</w:t>
      </w:r>
    </w:p>
    <w:p w:rsidR="00EA69F0" w:rsidRPr="00370E76" w:rsidRDefault="00AE1172" w:rsidP="00370E76">
      <w:pPr>
        <w:jc w:val="both"/>
        <w:rPr>
          <w:rFonts w:ascii="Times New Roman" w:hAnsi="Times New Roman" w:cs="Times New Roman"/>
          <w:sz w:val="24"/>
          <w:szCs w:val="24"/>
        </w:rPr>
      </w:pPr>
      <w:r w:rsidRPr="00370E76">
        <w:rPr>
          <w:rFonts w:ascii="Times New Roman" w:hAnsi="Times New Roman" w:cs="Times New Roman"/>
          <w:b/>
          <w:sz w:val="24"/>
          <w:szCs w:val="24"/>
        </w:rPr>
        <w:t>Siirt Üniversitesi Öğretme Ve Öğrenme Uygulama Ve Araştırma Merkezi Müdürlüğü</w:t>
      </w:r>
      <w:r w:rsidR="00381737" w:rsidRPr="00370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9F0" w:rsidRPr="00370E76">
        <w:rPr>
          <w:rFonts w:ascii="Times New Roman" w:hAnsi="Times New Roman" w:cs="Times New Roman"/>
          <w:b/>
          <w:sz w:val="24"/>
          <w:szCs w:val="24"/>
        </w:rPr>
        <w:t>Ar-Ge</w:t>
      </w:r>
      <w:r w:rsidR="00EA69F0" w:rsidRPr="00370E76">
        <w:rPr>
          <w:rFonts w:ascii="Times New Roman" w:hAnsi="Times New Roman" w:cs="Times New Roman"/>
          <w:b/>
          <w:bCs/>
          <w:sz w:val="24"/>
          <w:szCs w:val="24"/>
        </w:rPr>
        <w:t xml:space="preserve"> Stratejisi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626"/>
      </w:tblGrid>
      <w:tr w:rsidR="00EA69F0" w:rsidRPr="00370E76" w:rsidTr="00E209A1">
        <w:tc>
          <w:tcPr>
            <w:tcW w:w="662" w:type="dxa"/>
          </w:tcPr>
          <w:p w:rsidR="00EA69F0" w:rsidRPr="00370E76" w:rsidRDefault="00EA69F0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6" w:type="dxa"/>
          </w:tcPr>
          <w:p w:rsidR="00EA69F0" w:rsidRPr="00370E76" w:rsidRDefault="00EA69F0" w:rsidP="0037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>Araştırmaların yerel,  ulusal ve uluslararası öncelik ve ihtiyaçlar dikkate alınarak planlanması</w:t>
            </w:r>
          </w:p>
        </w:tc>
      </w:tr>
      <w:tr w:rsidR="00EA69F0" w:rsidRPr="00370E76" w:rsidTr="00E209A1">
        <w:trPr>
          <w:trHeight w:val="549"/>
        </w:trPr>
        <w:tc>
          <w:tcPr>
            <w:tcW w:w="662" w:type="dxa"/>
          </w:tcPr>
          <w:p w:rsidR="00EA69F0" w:rsidRPr="00370E76" w:rsidRDefault="00EA69F0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26" w:type="dxa"/>
          </w:tcPr>
          <w:p w:rsidR="00EA69F0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Etkili öğrenme ve öğretme ortamlarının düzenlenmesine ve geliştirilmesine yönelik araştırmalar yürütmek; araştırma sonuçlarını yayımlamak ve kurum içi ilgili birimlerle paylaşmak.</w:t>
            </w:r>
          </w:p>
        </w:tc>
      </w:tr>
      <w:tr w:rsidR="00EA69F0" w:rsidRPr="00370E76" w:rsidTr="00E209A1">
        <w:tc>
          <w:tcPr>
            <w:tcW w:w="662" w:type="dxa"/>
          </w:tcPr>
          <w:p w:rsidR="00EA69F0" w:rsidRPr="00370E76" w:rsidRDefault="00EA69F0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26" w:type="dxa"/>
          </w:tcPr>
          <w:p w:rsidR="00D368A8" w:rsidRPr="00370E76" w:rsidRDefault="00EA69F0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 xml:space="preserve">Ar-Ge faaliyetleri alanlarının belirlenmesi </w:t>
            </w:r>
          </w:p>
          <w:p w:rsidR="00EA69F0" w:rsidRPr="00370E76" w:rsidRDefault="00EA69F0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F0" w:rsidRPr="00370E76" w:rsidTr="00E209A1">
        <w:tc>
          <w:tcPr>
            <w:tcW w:w="662" w:type="dxa"/>
          </w:tcPr>
          <w:p w:rsidR="00EA69F0" w:rsidRPr="00370E76" w:rsidRDefault="00E209A1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26" w:type="dxa"/>
          </w:tcPr>
          <w:p w:rsidR="00E209A1" w:rsidRPr="00370E76" w:rsidRDefault="00E209A1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Teknoloji transfer modellemeleri oluşturma</w:t>
            </w:r>
          </w:p>
          <w:p w:rsidR="00EA69F0" w:rsidRPr="00370E76" w:rsidRDefault="00EA69F0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F0" w:rsidRPr="00370E76" w:rsidTr="00E209A1">
        <w:tc>
          <w:tcPr>
            <w:tcW w:w="662" w:type="dxa"/>
          </w:tcPr>
          <w:p w:rsidR="00EA69F0" w:rsidRPr="00370E76" w:rsidRDefault="00E209A1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26" w:type="dxa"/>
          </w:tcPr>
          <w:p w:rsidR="00E209A1" w:rsidRPr="00370E76" w:rsidRDefault="00E209A1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Patent takip birimi kurma</w:t>
            </w:r>
          </w:p>
          <w:p w:rsidR="00EA69F0" w:rsidRPr="00370E76" w:rsidRDefault="00EA69F0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F0" w:rsidRPr="00370E76" w:rsidTr="00E209A1">
        <w:tc>
          <w:tcPr>
            <w:tcW w:w="662" w:type="dxa"/>
          </w:tcPr>
          <w:p w:rsidR="00EA69F0" w:rsidRPr="00370E76" w:rsidRDefault="00E209A1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8626" w:type="dxa"/>
          </w:tcPr>
          <w:p w:rsidR="00AE1172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Öğrencilerin akademik ve sosyal gelişimlerine destek olmak amacıyla programlar hazırlamak.</w:t>
            </w:r>
          </w:p>
          <w:p w:rsidR="00082B9D" w:rsidRPr="00370E76" w:rsidRDefault="00082B9D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F0" w:rsidRPr="00370E76" w:rsidTr="00E209A1">
        <w:tc>
          <w:tcPr>
            <w:tcW w:w="662" w:type="dxa"/>
          </w:tcPr>
          <w:p w:rsidR="00EA69F0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626" w:type="dxa"/>
          </w:tcPr>
          <w:p w:rsidR="00E209A1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Öğretim elemanlarına yönelik öğretimi zenginleştirmeyi ve geliştirmeyi amaçlayan programlar tasarlamak.</w:t>
            </w:r>
          </w:p>
          <w:p w:rsidR="00AE1172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72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F0" w:rsidRPr="00370E76" w:rsidTr="00E209A1">
        <w:tc>
          <w:tcPr>
            <w:tcW w:w="662" w:type="dxa"/>
          </w:tcPr>
          <w:p w:rsidR="00EA69F0" w:rsidRPr="00370E76" w:rsidRDefault="00E209A1" w:rsidP="0037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26" w:type="dxa"/>
          </w:tcPr>
          <w:p w:rsidR="00082B9D" w:rsidRPr="00370E76" w:rsidRDefault="00E209A1" w:rsidP="00370E7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>Uluslararalılaşmada bilinç oluşturma ve bu yönde uygulamaların teşvik edilmesi,</w:t>
            </w:r>
          </w:p>
          <w:p w:rsidR="00082B9D" w:rsidRPr="00370E76" w:rsidRDefault="00082B9D" w:rsidP="00370E7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F0" w:rsidRPr="00370E76" w:rsidTr="00E209A1">
        <w:tc>
          <w:tcPr>
            <w:tcW w:w="662" w:type="dxa"/>
          </w:tcPr>
          <w:p w:rsidR="00EA69F0" w:rsidRPr="00370E76" w:rsidRDefault="00E209A1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26" w:type="dxa"/>
          </w:tcPr>
          <w:p w:rsidR="00EA69F0" w:rsidRPr="00370E76" w:rsidRDefault="00E209A1" w:rsidP="00370E7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Uluslararasılaşma</w:t>
            </w:r>
            <w:proofErr w:type="spellEnd"/>
            <w:r w:rsidRPr="00370E76">
              <w:rPr>
                <w:rFonts w:ascii="Times New Roman" w:hAnsi="Times New Roman" w:cs="Times New Roman"/>
                <w:sz w:val="24"/>
                <w:szCs w:val="24"/>
              </w:rPr>
              <w:t xml:space="preserve"> bilinci oluşturma</w:t>
            </w:r>
          </w:p>
        </w:tc>
      </w:tr>
      <w:tr w:rsidR="00E209A1" w:rsidRPr="00370E76" w:rsidTr="00E209A1">
        <w:tc>
          <w:tcPr>
            <w:tcW w:w="662" w:type="dxa"/>
          </w:tcPr>
          <w:p w:rsidR="00E209A1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09A1" w:rsidRPr="00370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6" w:type="dxa"/>
          </w:tcPr>
          <w:p w:rsidR="00E209A1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Araştırma bulgularını yurt içi ve yurt dışı bilimsel toplantılarda paylaşmak ve bilimsel yayın haline getirmek.</w:t>
            </w:r>
          </w:p>
          <w:p w:rsidR="00E209A1" w:rsidRPr="00370E76" w:rsidRDefault="00E209A1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72" w:rsidRPr="00370E76" w:rsidTr="00E209A1">
        <w:tc>
          <w:tcPr>
            <w:tcW w:w="662" w:type="dxa"/>
          </w:tcPr>
          <w:p w:rsidR="00AE1172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626" w:type="dxa"/>
          </w:tcPr>
          <w:p w:rsidR="00AE1172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Uluslararası ortak projeleri destekleme</w:t>
            </w:r>
          </w:p>
        </w:tc>
      </w:tr>
      <w:tr w:rsidR="00AE1172" w:rsidRPr="00370E76" w:rsidTr="00E209A1">
        <w:tc>
          <w:tcPr>
            <w:tcW w:w="662" w:type="dxa"/>
          </w:tcPr>
          <w:p w:rsidR="00AE1172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26" w:type="dxa"/>
          </w:tcPr>
          <w:p w:rsidR="00AE1172" w:rsidRPr="00370E76" w:rsidRDefault="00AE1172" w:rsidP="00370E7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 xml:space="preserve">Uluslararası ortak Ar-Ge çalışmalarında görev almaları destekleme </w:t>
            </w:r>
          </w:p>
          <w:p w:rsidR="00AE1172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9F0" w:rsidRPr="00370E76" w:rsidRDefault="00EA69F0" w:rsidP="00370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9A1" w:rsidRPr="00370E76" w:rsidRDefault="00E209A1" w:rsidP="00370E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8592"/>
      </w:tblGrid>
      <w:tr w:rsidR="00E209A1" w:rsidRPr="00370E76" w:rsidTr="00E64C24">
        <w:tc>
          <w:tcPr>
            <w:tcW w:w="662" w:type="dxa"/>
          </w:tcPr>
          <w:p w:rsidR="00E209A1" w:rsidRPr="00370E76" w:rsidRDefault="007D5C72" w:rsidP="0037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26" w:type="dxa"/>
          </w:tcPr>
          <w:p w:rsidR="00E209A1" w:rsidRPr="00370E76" w:rsidRDefault="007D5C72" w:rsidP="0037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>Ar-Ge faaliyetlerinde üniversite-kamu-sanayi işbirliğinin sağlanması,</w:t>
            </w:r>
          </w:p>
        </w:tc>
      </w:tr>
      <w:tr w:rsidR="00E209A1" w:rsidRPr="00370E76" w:rsidTr="00E64C24">
        <w:tc>
          <w:tcPr>
            <w:tcW w:w="662" w:type="dxa"/>
          </w:tcPr>
          <w:p w:rsidR="00E209A1" w:rsidRPr="00370E76" w:rsidRDefault="007D5C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26" w:type="dxa"/>
          </w:tcPr>
          <w:p w:rsidR="00E209A1" w:rsidRPr="00370E76" w:rsidRDefault="007D5C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Birimler arası koordinasyon ve eşgüdümlü proje çalışmaları</w:t>
            </w:r>
          </w:p>
        </w:tc>
      </w:tr>
      <w:tr w:rsidR="00E209A1" w:rsidRPr="00370E76" w:rsidTr="00AE1172">
        <w:trPr>
          <w:trHeight w:val="232"/>
        </w:trPr>
        <w:tc>
          <w:tcPr>
            <w:tcW w:w="662" w:type="dxa"/>
          </w:tcPr>
          <w:p w:rsidR="00E209A1" w:rsidRPr="00370E76" w:rsidRDefault="007D5C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8626" w:type="dxa"/>
          </w:tcPr>
          <w:p w:rsidR="007D5C72" w:rsidRPr="00370E76" w:rsidRDefault="00AE2E70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Dernekler,STK’lar</w:t>
            </w:r>
            <w:proofErr w:type="spellEnd"/>
            <w:proofErr w:type="gramEnd"/>
            <w:r w:rsidRPr="00370E76">
              <w:rPr>
                <w:rFonts w:ascii="Times New Roman" w:hAnsi="Times New Roman" w:cs="Times New Roman"/>
                <w:sz w:val="24"/>
                <w:szCs w:val="24"/>
              </w:rPr>
              <w:t xml:space="preserve"> ve Vakıflarla ortak çalışmalar yapılabilir.</w:t>
            </w:r>
          </w:p>
        </w:tc>
      </w:tr>
      <w:tr w:rsidR="00E209A1" w:rsidRPr="00370E76" w:rsidTr="00E64C24">
        <w:tc>
          <w:tcPr>
            <w:tcW w:w="662" w:type="dxa"/>
          </w:tcPr>
          <w:p w:rsidR="00E209A1" w:rsidRPr="00370E76" w:rsidRDefault="007D5C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26" w:type="dxa"/>
          </w:tcPr>
          <w:p w:rsidR="00E209A1" w:rsidRPr="00370E76" w:rsidRDefault="007D5C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Ar-Ge çalışma ürünlerinin üretimi ve yaygınlaşması,</w:t>
            </w:r>
          </w:p>
        </w:tc>
      </w:tr>
      <w:tr w:rsidR="00E209A1" w:rsidRPr="00370E76" w:rsidTr="00E64C24">
        <w:tc>
          <w:tcPr>
            <w:tcW w:w="662" w:type="dxa"/>
          </w:tcPr>
          <w:p w:rsidR="00E209A1" w:rsidRPr="00370E76" w:rsidRDefault="007D5C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26" w:type="dxa"/>
          </w:tcPr>
          <w:p w:rsidR="00E209A1" w:rsidRPr="00370E76" w:rsidRDefault="007D5C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Ar-Ge faaliyetlerinde paydaşların katılımını etkinleştirmek</w:t>
            </w:r>
          </w:p>
        </w:tc>
      </w:tr>
    </w:tbl>
    <w:p w:rsidR="007D5C72" w:rsidRPr="00370E76" w:rsidRDefault="007D5C72" w:rsidP="00370E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8592"/>
      </w:tblGrid>
      <w:tr w:rsidR="007D5C72" w:rsidRPr="00370E76" w:rsidTr="00E64C24">
        <w:tc>
          <w:tcPr>
            <w:tcW w:w="662" w:type="dxa"/>
          </w:tcPr>
          <w:p w:rsidR="007D5C72" w:rsidRPr="00370E76" w:rsidRDefault="007D5C72" w:rsidP="0037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26" w:type="dxa"/>
          </w:tcPr>
          <w:p w:rsidR="007D5C72" w:rsidRPr="00370E76" w:rsidRDefault="007D5C72" w:rsidP="00370E7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>Ar-Ge faaliyetlerinde paydaşların katılımının etkinleştirilmesi,</w:t>
            </w:r>
          </w:p>
        </w:tc>
      </w:tr>
      <w:tr w:rsidR="007D5C72" w:rsidRPr="00370E76" w:rsidTr="00E64C24">
        <w:tc>
          <w:tcPr>
            <w:tcW w:w="662" w:type="dxa"/>
          </w:tcPr>
          <w:p w:rsidR="007D5C72" w:rsidRPr="00370E76" w:rsidRDefault="007D5C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26" w:type="dxa"/>
          </w:tcPr>
          <w:p w:rsidR="007D5C72" w:rsidRPr="00370E76" w:rsidRDefault="007D5C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Çalışma konuları ile ilgili paydaş kurum ve kuruluşların belirlenmesi</w:t>
            </w:r>
          </w:p>
        </w:tc>
      </w:tr>
      <w:tr w:rsidR="001316E7" w:rsidRPr="00370E76" w:rsidTr="00AE1172">
        <w:trPr>
          <w:trHeight w:val="260"/>
        </w:trPr>
        <w:tc>
          <w:tcPr>
            <w:tcW w:w="662" w:type="dxa"/>
          </w:tcPr>
          <w:p w:rsidR="001316E7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626" w:type="dxa"/>
          </w:tcPr>
          <w:p w:rsidR="001316E7" w:rsidRPr="00370E76" w:rsidRDefault="00AE1172" w:rsidP="00370E7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Merkezin çalışma alanları doğrultusunda ki</w:t>
            </w: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tap, broşür, bülten yayımlamak.</w:t>
            </w:r>
          </w:p>
        </w:tc>
      </w:tr>
      <w:tr w:rsidR="001316E7" w:rsidRPr="00370E76" w:rsidTr="00E64C24">
        <w:tc>
          <w:tcPr>
            <w:tcW w:w="662" w:type="dxa"/>
          </w:tcPr>
          <w:p w:rsidR="001316E7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626" w:type="dxa"/>
          </w:tcPr>
          <w:p w:rsidR="001316E7" w:rsidRPr="00370E76" w:rsidRDefault="00AE1172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Merkezin çalışma alanlarına dâhil olan konularda, bilimsel toplantılar düzenlemek.</w:t>
            </w:r>
          </w:p>
        </w:tc>
      </w:tr>
      <w:tr w:rsidR="001316E7" w:rsidRPr="00370E76" w:rsidTr="00E64C24">
        <w:tc>
          <w:tcPr>
            <w:tcW w:w="662" w:type="dxa"/>
          </w:tcPr>
          <w:p w:rsidR="001316E7" w:rsidRPr="00370E76" w:rsidRDefault="001316E7" w:rsidP="0037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6" w:type="dxa"/>
          </w:tcPr>
          <w:p w:rsidR="001316E7" w:rsidRPr="00370E76" w:rsidRDefault="001316E7" w:rsidP="00370E7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>Akademisyenlerin Ar-Ge faaliyetlerini gerçekleştirebilecekleri uygun ortamların oluşturulması,</w:t>
            </w:r>
          </w:p>
        </w:tc>
      </w:tr>
      <w:tr w:rsidR="001316E7" w:rsidRPr="00370E76" w:rsidTr="00E64C24">
        <w:tc>
          <w:tcPr>
            <w:tcW w:w="662" w:type="dxa"/>
          </w:tcPr>
          <w:p w:rsidR="001316E7" w:rsidRPr="00370E76" w:rsidRDefault="001316E7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26" w:type="dxa"/>
          </w:tcPr>
          <w:p w:rsidR="001316E7" w:rsidRPr="00370E76" w:rsidRDefault="001316E7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 xml:space="preserve">Altyapı olanaklarının geliştirilmesi, </w:t>
            </w:r>
          </w:p>
        </w:tc>
      </w:tr>
      <w:tr w:rsidR="001316E7" w:rsidRPr="00370E76" w:rsidTr="00E64C24">
        <w:tc>
          <w:tcPr>
            <w:tcW w:w="662" w:type="dxa"/>
          </w:tcPr>
          <w:p w:rsidR="001316E7" w:rsidRPr="00370E76" w:rsidRDefault="001316E7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8626" w:type="dxa"/>
          </w:tcPr>
          <w:p w:rsidR="001316E7" w:rsidRPr="00370E76" w:rsidRDefault="001316E7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6E7" w:rsidRPr="00370E76" w:rsidRDefault="00C01DDF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İnternet Altyapısının sağlanması</w:t>
            </w:r>
          </w:p>
        </w:tc>
      </w:tr>
      <w:tr w:rsidR="001316E7" w:rsidRPr="00370E76" w:rsidTr="00E64C24">
        <w:tc>
          <w:tcPr>
            <w:tcW w:w="662" w:type="dxa"/>
          </w:tcPr>
          <w:p w:rsidR="001316E7" w:rsidRPr="00370E76" w:rsidRDefault="001316E7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8626" w:type="dxa"/>
          </w:tcPr>
          <w:p w:rsidR="001316E7" w:rsidRPr="00370E76" w:rsidRDefault="00C01DDF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Sosyal Faaliyet Alanlarının merkez anlayışıyla güncelleşmesi</w:t>
            </w:r>
          </w:p>
        </w:tc>
      </w:tr>
      <w:tr w:rsidR="001316E7" w:rsidRPr="00370E76" w:rsidTr="00E64C24">
        <w:tc>
          <w:tcPr>
            <w:tcW w:w="662" w:type="dxa"/>
          </w:tcPr>
          <w:p w:rsidR="001316E7" w:rsidRPr="00370E76" w:rsidRDefault="001316E7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26" w:type="dxa"/>
          </w:tcPr>
          <w:p w:rsidR="001316E7" w:rsidRPr="00370E76" w:rsidRDefault="001316E7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 xml:space="preserve">Laboratuar sayı, kapasite ve kalitelerinde gelişim, </w:t>
            </w:r>
          </w:p>
        </w:tc>
      </w:tr>
      <w:tr w:rsidR="00E15A35" w:rsidRPr="00370E76" w:rsidTr="00E64C24">
        <w:tc>
          <w:tcPr>
            <w:tcW w:w="662" w:type="dxa"/>
          </w:tcPr>
          <w:p w:rsidR="00E15A35" w:rsidRPr="00370E76" w:rsidRDefault="00E15A35" w:rsidP="0037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26" w:type="dxa"/>
          </w:tcPr>
          <w:p w:rsidR="00E15A35" w:rsidRPr="00370E76" w:rsidRDefault="00E15A35" w:rsidP="00370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Akademisyenlerin Ar-Ge yönlerinin geliştirilerek aktif ve dinamik tutulması </w:t>
            </w:r>
          </w:p>
        </w:tc>
      </w:tr>
      <w:tr w:rsidR="00E15A35" w:rsidRPr="00370E76" w:rsidTr="00E64C24">
        <w:tc>
          <w:tcPr>
            <w:tcW w:w="662" w:type="dxa"/>
          </w:tcPr>
          <w:p w:rsidR="00E15A35" w:rsidRPr="00370E76" w:rsidRDefault="00724BB3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626" w:type="dxa"/>
          </w:tcPr>
          <w:p w:rsidR="00E15A35" w:rsidRPr="00370E76" w:rsidRDefault="00370E76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Uzmanlık alanları çerçevesinde akademisyenlere eğitimler verilebilir.</w:t>
            </w:r>
            <w:r w:rsidR="00724BB3" w:rsidRPr="00370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A35" w:rsidRPr="00370E76" w:rsidTr="00E64C24">
        <w:tc>
          <w:tcPr>
            <w:tcW w:w="662" w:type="dxa"/>
          </w:tcPr>
          <w:p w:rsidR="00E15A35" w:rsidRPr="00370E76" w:rsidRDefault="00724BB3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626" w:type="dxa"/>
          </w:tcPr>
          <w:p w:rsidR="00E15A35" w:rsidRPr="00370E76" w:rsidRDefault="00724BB3" w:rsidP="0037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76">
              <w:rPr>
                <w:rFonts w:ascii="Times New Roman" w:hAnsi="Times New Roman" w:cs="Times New Roman"/>
                <w:sz w:val="24"/>
                <w:szCs w:val="24"/>
              </w:rPr>
              <w:t xml:space="preserve">Proje ekipleri oluşturma, </w:t>
            </w:r>
          </w:p>
        </w:tc>
      </w:tr>
    </w:tbl>
    <w:p w:rsidR="007D5C72" w:rsidRPr="00370E76" w:rsidRDefault="007D5C72" w:rsidP="00370E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C72" w:rsidRPr="00370E76" w:rsidSect="00B3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159C"/>
    <w:multiLevelType w:val="hybridMultilevel"/>
    <w:tmpl w:val="7F82030E"/>
    <w:lvl w:ilvl="0" w:tplc="4D0AEFC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1049B"/>
    <w:multiLevelType w:val="hybridMultilevel"/>
    <w:tmpl w:val="F00EF8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7B7B"/>
    <w:multiLevelType w:val="hybridMultilevel"/>
    <w:tmpl w:val="F27E685C"/>
    <w:lvl w:ilvl="0" w:tplc="4D0AEF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16EDC"/>
    <w:multiLevelType w:val="hybridMultilevel"/>
    <w:tmpl w:val="6226C4C8"/>
    <w:lvl w:ilvl="0" w:tplc="4D0AEFC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0B83"/>
    <w:multiLevelType w:val="hybridMultilevel"/>
    <w:tmpl w:val="BA6EC788"/>
    <w:lvl w:ilvl="0" w:tplc="2DFEDE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CA31A9"/>
    <w:multiLevelType w:val="hybridMultilevel"/>
    <w:tmpl w:val="D1EE1B70"/>
    <w:lvl w:ilvl="0" w:tplc="4D0AEFC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06C82"/>
    <w:multiLevelType w:val="hybridMultilevel"/>
    <w:tmpl w:val="F00EF8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700FF"/>
    <w:multiLevelType w:val="hybridMultilevel"/>
    <w:tmpl w:val="B6544E30"/>
    <w:lvl w:ilvl="0" w:tplc="4D0AEFC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B252AC"/>
    <w:multiLevelType w:val="hybridMultilevel"/>
    <w:tmpl w:val="FEC0B794"/>
    <w:lvl w:ilvl="0" w:tplc="4D0AEFC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69F0"/>
    <w:rsid w:val="00082B9D"/>
    <w:rsid w:val="001316E7"/>
    <w:rsid w:val="001F015F"/>
    <w:rsid w:val="00253126"/>
    <w:rsid w:val="00370E76"/>
    <w:rsid w:val="00381737"/>
    <w:rsid w:val="004E2AE9"/>
    <w:rsid w:val="006F0702"/>
    <w:rsid w:val="00724BB3"/>
    <w:rsid w:val="007D5C72"/>
    <w:rsid w:val="00835B4A"/>
    <w:rsid w:val="00932752"/>
    <w:rsid w:val="00AE1172"/>
    <w:rsid w:val="00AE2E70"/>
    <w:rsid w:val="00B315CF"/>
    <w:rsid w:val="00C01DDF"/>
    <w:rsid w:val="00C16FD2"/>
    <w:rsid w:val="00C710A7"/>
    <w:rsid w:val="00CF0BDE"/>
    <w:rsid w:val="00D368A8"/>
    <w:rsid w:val="00D5633D"/>
    <w:rsid w:val="00E15A35"/>
    <w:rsid w:val="00E209A1"/>
    <w:rsid w:val="00EA69F0"/>
    <w:rsid w:val="00EB435A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32BF8-7454-44E6-B8F3-EE3D0208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9F0"/>
    <w:rPr>
      <w:rFonts w:eastAsiaTheme="minorEastAsia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C71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69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0A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7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4" baseType="lpstr">
      <vt:lpstr/>
      <vt:lpstr/>
      <vt:lpstr>    Misyon</vt:lpstr>
      <vt:lpstr>    Vizyon</vt:lpstr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Microsoft hesabı</cp:lastModifiedBy>
  <cp:revision>2</cp:revision>
  <cp:lastPrinted>2019-02-12T13:47:00Z</cp:lastPrinted>
  <dcterms:created xsi:type="dcterms:W3CDTF">2022-10-08T15:25:00Z</dcterms:created>
  <dcterms:modified xsi:type="dcterms:W3CDTF">2022-10-08T15:25:00Z</dcterms:modified>
</cp:coreProperties>
</file>